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19A8C" w14:textId="0D8D96D9" w:rsidR="00155CEB" w:rsidRPr="002147A8" w:rsidRDefault="00183DAB" w:rsidP="005D3338">
      <w:pPr>
        <w:widowControl/>
        <w:wordWrap/>
        <w:autoSpaceDE/>
        <w:autoSpaceDN/>
        <w:rPr>
          <w:rFonts w:ascii="Times New Roman" w:eastAsiaTheme="minorHAnsi" w:hAnsi="Times New Roman" w:cs="Times New Roman"/>
          <w:sz w:val="22"/>
        </w:rPr>
      </w:pPr>
      <w:r w:rsidRPr="002147A8">
        <w:rPr>
          <w:rFonts w:ascii="Times New Roman" w:eastAsiaTheme="minorHAnsi" w:hAnsi="Times New Roman" w:cs="Times New Roman"/>
          <w:noProof/>
          <w:sz w:val="22"/>
          <w:lang w:val="en-US"/>
        </w:rPr>
        <w:drawing>
          <wp:anchor distT="0" distB="0" distL="114300" distR="114300" simplePos="0" relativeHeight="251658240" behindDoc="0" locked="0" layoutInCell="1" allowOverlap="1" wp14:anchorId="15BDDC11" wp14:editId="121178D7">
            <wp:simplePos x="0" y="0"/>
            <wp:positionH relativeFrom="column">
              <wp:posOffset>-32385</wp:posOffset>
            </wp:positionH>
            <wp:positionV relativeFrom="paragraph">
              <wp:posOffset>52705</wp:posOffset>
            </wp:positionV>
            <wp:extent cx="9852660" cy="5134610"/>
            <wp:effectExtent l="0" t="0" r="0" b="8890"/>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2_pMSBOS_workflow_translated.jpg"/>
                    <pic:cNvPicPr/>
                  </pic:nvPicPr>
                  <pic:blipFill rotWithShape="1">
                    <a:blip r:embed="rId7" cstate="print">
                      <a:extLst>
                        <a:ext uri="{28A0092B-C50C-407E-A947-70E740481C1C}">
                          <a14:useLocalDpi xmlns:a14="http://schemas.microsoft.com/office/drawing/2010/main" val="0"/>
                        </a:ext>
                      </a:extLst>
                    </a:blip>
                    <a:srcRect l="300" t="672" r="300" b="1165"/>
                    <a:stretch/>
                  </pic:blipFill>
                  <pic:spPr bwMode="auto">
                    <a:xfrm>
                      <a:off x="0" y="0"/>
                      <a:ext cx="9852660" cy="5134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3418" w:rsidRPr="002147A8">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4630556B" wp14:editId="329A8425">
                <wp:simplePos x="0" y="0"/>
                <wp:positionH relativeFrom="column">
                  <wp:posOffset>-29210</wp:posOffset>
                </wp:positionH>
                <wp:positionV relativeFrom="paragraph">
                  <wp:posOffset>5439605</wp:posOffset>
                </wp:positionV>
                <wp:extent cx="971804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9718040" cy="635"/>
                        </a:xfrm>
                        <a:prstGeom prst="rect">
                          <a:avLst/>
                        </a:prstGeom>
                        <a:solidFill>
                          <a:prstClr val="white"/>
                        </a:solidFill>
                        <a:ln>
                          <a:noFill/>
                        </a:ln>
                      </wps:spPr>
                      <wps:txbx>
                        <w:txbxContent>
                          <w:p w14:paraId="6CDB8B90" w14:textId="22F8DBD3" w:rsidR="00E73418" w:rsidRPr="002147A8" w:rsidRDefault="002D54BE" w:rsidP="00E73418">
                            <w:pPr>
                              <w:pStyle w:val="a4"/>
                              <w:rPr>
                                <w:rFonts w:ascii="Times New Roman" w:hAnsi="Times New Roman" w:cs="Times New Roman"/>
                                <w:sz w:val="22"/>
                              </w:rPr>
                            </w:pPr>
                            <w:r w:rsidRPr="002147A8">
                              <w:rPr>
                                <w:rFonts w:ascii="Times New Roman" w:hAnsi="Times New Roman" w:cs="Times New Roman"/>
                                <w:sz w:val="22"/>
                              </w:rPr>
                              <w:t xml:space="preserve">Multimedia Appendix </w:t>
                            </w:r>
                            <w:r w:rsidR="00E73418" w:rsidRPr="002147A8">
                              <w:rPr>
                                <w:rFonts w:ascii="Times New Roman" w:hAnsi="Times New Roman" w:cs="Times New Roman"/>
                                <w:sz w:val="22"/>
                              </w:rPr>
                              <w:t xml:space="preserve">2. </w:t>
                            </w:r>
                            <w:r w:rsidR="00E73418" w:rsidRPr="00AD24EF">
                              <w:rPr>
                                <w:rFonts w:ascii="Times New Roman" w:hAnsi="Times New Roman" w:cs="Times New Roman"/>
                                <w:b w:val="0"/>
                                <w:sz w:val="22"/>
                              </w:rPr>
                              <w:t>Integrated Workflow for Preoperative Blood Ordering, Preparation, and Transf</w:t>
                            </w:r>
                            <w:r w:rsidR="002147A8" w:rsidRPr="00AD24EF">
                              <w:rPr>
                                <w:rFonts w:ascii="Times New Roman" w:hAnsi="Times New Roman" w:cs="Times New Roman"/>
                                <w:b w:val="0"/>
                                <w:sz w:val="22"/>
                              </w:rPr>
                              <w:t>usion in Surgical Care Settings.</w:t>
                            </w:r>
                          </w:p>
                          <w:p w14:paraId="403A0D87" w14:textId="239D4B19" w:rsidR="00E73418" w:rsidRPr="002147A8" w:rsidRDefault="008662A6" w:rsidP="00E73418">
                            <w:pPr>
                              <w:pStyle w:val="a4"/>
                              <w:rPr>
                                <w:rFonts w:ascii="Times New Roman" w:eastAsiaTheme="minorHAnsi" w:hAnsi="Times New Roman" w:cs="Times New Roman"/>
                                <w:b w:val="0"/>
                                <w:noProof/>
                                <w:sz w:val="22"/>
                              </w:rPr>
                            </w:pPr>
                            <w:r w:rsidRPr="002147A8">
                              <w:rPr>
                                <w:rFonts w:ascii="Times New Roman" w:hAnsi="Times New Roman" w:cs="Times New Roman"/>
                                <w:b w:val="0"/>
                              </w:rPr>
                              <w:t xml:space="preserve">Presented as a swim lane diagram illustrating the distinct roles and sequential tasks of physicians, nurses, and the blood bank. The workflow </w:t>
                            </w:r>
                            <w:r w:rsidR="00AB4B68" w:rsidRPr="002147A8">
                              <w:rPr>
                                <w:rFonts w:ascii="Times New Roman" w:hAnsi="Times New Roman" w:cs="Times New Roman"/>
                                <w:b w:val="0"/>
                              </w:rPr>
                              <w:t>depicts</w:t>
                            </w:r>
                            <w:r w:rsidRPr="002147A8">
                              <w:rPr>
                                <w:rFonts w:ascii="Times New Roman" w:hAnsi="Times New Roman" w:cs="Times New Roman"/>
                                <w:b w:val="0"/>
                              </w:rPr>
                              <w:t xml:space="preserve"> prescription</w:t>
                            </w:r>
                            <w:r w:rsidR="00AB4B68" w:rsidRPr="002147A8">
                              <w:rPr>
                                <w:rFonts w:ascii="Times New Roman" w:hAnsi="Times New Roman" w:cs="Times New Roman"/>
                                <w:b w:val="0"/>
                              </w:rPr>
                              <w:t xml:space="preserve"> verification</w:t>
                            </w:r>
                            <w:r w:rsidRPr="002147A8">
                              <w:rPr>
                                <w:rFonts w:ascii="Times New Roman" w:hAnsi="Times New Roman" w:cs="Times New Roman"/>
                                <w:b w:val="0"/>
                              </w:rPr>
                              <w:t>, determination of blood volume, processing of blood requests, and transfusion administration for patients scheduled for elective surgery in surgical wards, intensive care units, or operating theatres. Context annotations describe the clinical scenarios assumed during process design, including prescription verification on the day of ordering, preparation on the day of surgery, and confirmation of blood requests in advance of scheduled procedu</w:t>
                            </w:r>
                            <w:bookmarkStart w:id="0" w:name="_GoBack"/>
                            <w:bookmarkEnd w:id="0"/>
                            <w:r w:rsidRPr="002147A8">
                              <w:rPr>
                                <w:rFonts w:ascii="Times New Roman" w:hAnsi="Times New Roman" w:cs="Times New Roman"/>
                                <w:b w:val="0"/>
                              </w:rPr>
                              <w:t xml:space="preserve">res. Arrows </w:t>
                            </w:r>
                            <w:r w:rsidR="00AB4B68" w:rsidRPr="002147A8">
                              <w:rPr>
                                <w:rFonts w:ascii="Times New Roman" w:hAnsi="Times New Roman" w:cs="Times New Roman"/>
                                <w:b w:val="0"/>
                              </w:rPr>
                              <w:t xml:space="preserve">indicate </w:t>
                            </w:r>
                            <w:r w:rsidRPr="002147A8">
                              <w:rPr>
                                <w:rFonts w:ascii="Times New Roman" w:hAnsi="Times New Roman" w:cs="Times New Roman"/>
                                <w:b w:val="0"/>
                              </w:rPr>
                              <w:t xml:space="preserve">workflow sequences, solid lines </w:t>
                            </w:r>
                            <w:r w:rsidR="00AB4B68" w:rsidRPr="002147A8">
                              <w:rPr>
                                <w:rFonts w:ascii="Times New Roman" w:hAnsi="Times New Roman" w:cs="Times New Roman"/>
                                <w:b w:val="0"/>
                              </w:rPr>
                              <w:t xml:space="preserve">denote </w:t>
                            </w:r>
                            <w:r w:rsidRPr="002147A8">
                              <w:rPr>
                                <w:rFonts w:ascii="Times New Roman" w:hAnsi="Times New Roman" w:cs="Times New Roman"/>
                                <w:b w:val="0"/>
                              </w:rPr>
                              <w:t xml:space="preserve">concurrent tasks, and dotted lines </w:t>
                            </w:r>
                            <w:r w:rsidR="00AB4B68" w:rsidRPr="002147A8">
                              <w:rPr>
                                <w:rFonts w:ascii="Times New Roman" w:hAnsi="Times New Roman" w:cs="Times New Roman"/>
                                <w:b w:val="0"/>
                              </w:rPr>
                              <w:t xml:space="preserve">denote </w:t>
                            </w:r>
                            <w:r w:rsidRPr="002147A8">
                              <w:rPr>
                                <w:rFonts w:ascii="Times New Roman" w:hAnsi="Times New Roman" w:cs="Times New Roman"/>
                                <w:b w:val="0"/>
                              </w:rPr>
                              <w:t xml:space="preserve">exceptional tasks. No error bars are present in this figure. Abbreviations: ID, identification; pMSBOS, </w:t>
                            </w:r>
                            <w:r w:rsidR="008369FD" w:rsidRPr="002147A8">
                              <w:rPr>
                                <w:rFonts w:ascii="Times New Roman" w:hAnsi="Times New Roman" w:cs="Times New Roman"/>
                                <w:b w:val="0"/>
                              </w:rPr>
                              <w:t xml:space="preserve">personalized </w:t>
                            </w:r>
                            <w:r w:rsidRPr="002147A8">
                              <w:rPr>
                                <w:rFonts w:ascii="Times New Roman" w:hAnsi="Times New Roman" w:cs="Times New Roman"/>
                                <w:b w:val="0"/>
                              </w:rPr>
                              <w:t>Maximum Surgical Blood Order Schedule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630556B" id="_x0000_t202" coordsize="21600,21600" o:spt="202" path="m,l,21600r21600,l21600,xe">
                <v:stroke joinstyle="miter"/>
                <v:path gradientshapeok="t" o:connecttype="rect"/>
              </v:shapetype>
              <v:shape id="Text Box 2" o:spid="_x0000_s1026" type="#_x0000_t202" style="position:absolute;left:0;text-align:left;margin-left:-2.3pt;margin-top:428.3pt;width:765.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" stroked="f">
                <v:textbox style="mso-fit-shape-to-text:t" inset="0,0,0,0">
                  <w:txbxContent>
                    <w:p w14:paraId="6CDB8B90" w14:textId="22F8DBD3" w:rsidR="00E73418" w:rsidRPr="002147A8" w:rsidRDefault="002D54BE" w:rsidP="00E73418">
                      <w:pPr>
                        <w:pStyle w:val="a4"/>
                        <w:rPr>
                          <w:rFonts w:ascii="Times New Roman" w:hAnsi="Times New Roman" w:cs="Times New Roman"/>
                          <w:sz w:val="22"/>
                        </w:rPr>
                      </w:pPr>
                      <w:r w:rsidRPr="002147A8">
                        <w:rPr>
                          <w:rFonts w:ascii="Times New Roman" w:hAnsi="Times New Roman" w:cs="Times New Roman"/>
                          <w:sz w:val="22"/>
                        </w:rPr>
                        <w:t xml:space="preserve">Multimedia Appendix </w:t>
                      </w:r>
                      <w:r w:rsidR="00E73418" w:rsidRPr="002147A8">
                        <w:rPr>
                          <w:rFonts w:ascii="Times New Roman" w:hAnsi="Times New Roman" w:cs="Times New Roman"/>
                          <w:sz w:val="22"/>
                        </w:rPr>
                        <w:t xml:space="preserve">2. </w:t>
                      </w:r>
                      <w:r w:rsidR="00E73418" w:rsidRPr="00AD24EF">
                        <w:rPr>
                          <w:rFonts w:ascii="Times New Roman" w:hAnsi="Times New Roman" w:cs="Times New Roman"/>
                          <w:b w:val="0"/>
                          <w:sz w:val="22"/>
                        </w:rPr>
                        <w:t>Integrated Workflow for Preoperative Blood Ordering, Preparation, and Transf</w:t>
                      </w:r>
                      <w:r w:rsidR="002147A8" w:rsidRPr="00AD24EF">
                        <w:rPr>
                          <w:rFonts w:ascii="Times New Roman" w:hAnsi="Times New Roman" w:cs="Times New Roman"/>
                          <w:b w:val="0"/>
                          <w:sz w:val="22"/>
                        </w:rPr>
                        <w:t>usion in Surgical Care Settings.</w:t>
                      </w:r>
                    </w:p>
                    <w:p w14:paraId="403A0D87" w14:textId="239D4B19" w:rsidR="00E73418" w:rsidRPr="002147A8" w:rsidRDefault="008662A6" w:rsidP="00E73418">
                      <w:pPr>
                        <w:pStyle w:val="a4"/>
                        <w:rPr>
                          <w:rFonts w:ascii="Times New Roman" w:eastAsiaTheme="minorHAnsi" w:hAnsi="Times New Roman" w:cs="Times New Roman"/>
                          <w:b w:val="0"/>
                          <w:noProof/>
                          <w:sz w:val="22"/>
                        </w:rPr>
                      </w:pPr>
                      <w:r w:rsidRPr="002147A8">
                        <w:rPr>
                          <w:rFonts w:ascii="Times New Roman" w:hAnsi="Times New Roman" w:cs="Times New Roman"/>
                          <w:b w:val="0"/>
                        </w:rPr>
                        <w:t xml:space="preserve">Presented as a swim lane diagram illustrating the distinct roles and sequential tasks of physicians, nurses, and the blood bank. The workflow </w:t>
                      </w:r>
                      <w:r w:rsidR="00AB4B68" w:rsidRPr="002147A8">
                        <w:rPr>
                          <w:rFonts w:ascii="Times New Roman" w:hAnsi="Times New Roman" w:cs="Times New Roman"/>
                          <w:b w:val="0"/>
                        </w:rPr>
                        <w:t>depicts</w:t>
                      </w:r>
                      <w:r w:rsidRPr="002147A8">
                        <w:rPr>
                          <w:rFonts w:ascii="Times New Roman" w:hAnsi="Times New Roman" w:cs="Times New Roman"/>
                          <w:b w:val="0"/>
                        </w:rPr>
                        <w:t xml:space="preserve"> prescription</w:t>
                      </w:r>
                      <w:r w:rsidR="00AB4B68" w:rsidRPr="002147A8">
                        <w:rPr>
                          <w:rFonts w:ascii="Times New Roman" w:hAnsi="Times New Roman" w:cs="Times New Roman"/>
                          <w:b w:val="0"/>
                        </w:rPr>
                        <w:t xml:space="preserve"> verification</w:t>
                      </w:r>
                      <w:r w:rsidRPr="002147A8">
                        <w:rPr>
                          <w:rFonts w:ascii="Times New Roman" w:hAnsi="Times New Roman" w:cs="Times New Roman"/>
                          <w:b w:val="0"/>
                        </w:rPr>
                        <w:t>, determination of blood volume, processing of blood requests, and transfusion administration for patients scheduled for elective surgery in surgical wards, intensive care units, or operating theatres. Context annotations describe the clinical scenarios assumed during process design, including prescription verification on the day of ordering, preparation on the day of surgery, and confirmation of blood requests in advance of scheduled procedu</w:t>
                      </w:r>
                      <w:bookmarkStart w:id="1" w:name="_GoBack"/>
                      <w:bookmarkEnd w:id="1"/>
                      <w:r w:rsidRPr="002147A8">
                        <w:rPr>
                          <w:rFonts w:ascii="Times New Roman" w:hAnsi="Times New Roman" w:cs="Times New Roman"/>
                          <w:b w:val="0"/>
                        </w:rPr>
                        <w:t xml:space="preserve">res. Arrows </w:t>
                      </w:r>
                      <w:r w:rsidR="00AB4B68" w:rsidRPr="002147A8">
                        <w:rPr>
                          <w:rFonts w:ascii="Times New Roman" w:hAnsi="Times New Roman" w:cs="Times New Roman"/>
                          <w:b w:val="0"/>
                        </w:rPr>
                        <w:t xml:space="preserve">indicate </w:t>
                      </w:r>
                      <w:r w:rsidRPr="002147A8">
                        <w:rPr>
                          <w:rFonts w:ascii="Times New Roman" w:hAnsi="Times New Roman" w:cs="Times New Roman"/>
                          <w:b w:val="0"/>
                        </w:rPr>
                        <w:t xml:space="preserve">workflow sequences, solid lines </w:t>
                      </w:r>
                      <w:r w:rsidR="00AB4B68" w:rsidRPr="002147A8">
                        <w:rPr>
                          <w:rFonts w:ascii="Times New Roman" w:hAnsi="Times New Roman" w:cs="Times New Roman"/>
                          <w:b w:val="0"/>
                        </w:rPr>
                        <w:t xml:space="preserve">denote </w:t>
                      </w:r>
                      <w:r w:rsidRPr="002147A8">
                        <w:rPr>
                          <w:rFonts w:ascii="Times New Roman" w:hAnsi="Times New Roman" w:cs="Times New Roman"/>
                          <w:b w:val="0"/>
                        </w:rPr>
                        <w:t xml:space="preserve">concurrent tasks, and dotted lines </w:t>
                      </w:r>
                      <w:r w:rsidR="00AB4B68" w:rsidRPr="002147A8">
                        <w:rPr>
                          <w:rFonts w:ascii="Times New Roman" w:hAnsi="Times New Roman" w:cs="Times New Roman"/>
                          <w:b w:val="0"/>
                        </w:rPr>
                        <w:t xml:space="preserve">denote </w:t>
                      </w:r>
                      <w:r w:rsidRPr="002147A8">
                        <w:rPr>
                          <w:rFonts w:ascii="Times New Roman" w:hAnsi="Times New Roman" w:cs="Times New Roman"/>
                          <w:b w:val="0"/>
                        </w:rPr>
                        <w:t xml:space="preserve">exceptional tasks. No error bars are present in this figure. Abbreviations: ID, identification; pMSBOS, </w:t>
                      </w:r>
                      <w:r w:rsidR="008369FD" w:rsidRPr="002147A8">
                        <w:rPr>
                          <w:rFonts w:ascii="Times New Roman" w:hAnsi="Times New Roman" w:cs="Times New Roman"/>
                          <w:b w:val="0"/>
                        </w:rPr>
                        <w:t xml:space="preserve">personalized </w:t>
                      </w:r>
                      <w:r w:rsidRPr="002147A8">
                        <w:rPr>
                          <w:rFonts w:ascii="Times New Roman" w:hAnsi="Times New Roman" w:cs="Times New Roman"/>
                          <w:b w:val="0"/>
                        </w:rPr>
                        <w:t>Maximum Surgical Blood Order Schedule</w:t>
                      </w:r>
                    </w:p>
                  </w:txbxContent>
                </v:textbox>
                <w10:wrap type="topAndBottom"/>
              </v:shape>
            </w:pict>
          </mc:Fallback>
        </mc:AlternateContent>
      </w:r>
    </w:p>
    <w:p w14:paraId="3470DCD0" w14:textId="77777777" w:rsidR="00ED0402" w:rsidRPr="002147A8" w:rsidRDefault="00ED0402" w:rsidP="005D3338">
      <w:pPr>
        <w:widowControl/>
        <w:wordWrap/>
        <w:autoSpaceDE/>
        <w:autoSpaceDN/>
        <w:rPr>
          <w:rFonts w:ascii="Times New Roman" w:eastAsiaTheme="minorHAnsi" w:hAnsi="Times New Roman" w:cs="Times New Roman"/>
          <w:sz w:val="22"/>
        </w:rPr>
      </w:pPr>
    </w:p>
    <w:sectPr w:rsidR="00ED0402" w:rsidRPr="002147A8" w:rsidSect="00E73418">
      <w:headerReference w:type="default" r:id="rId8"/>
      <w:pgSz w:w="16838" w:h="11906" w:orient="landscape" w:code="9"/>
      <w:pgMar w:top="567" w:right="567" w:bottom="567" w:left="567" w:header="113" w:footer="11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60328" w14:textId="77777777" w:rsidR="00626C4E" w:rsidRDefault="00626C4E" w:rsidP="009F1250">
      <w:pPr>
        <w:spacing w:after="0" w:line="240" w:lineRule="auto"/>
      </w:pPr>
      <w:r>
        <w:separator/>
      </w:r>
    </w:p>
  </w:endnote>
  <w:endnote w:type="continuationSeparator" w:id="0">
    <w:p w14:paraId="62699B95" w14:textId="77777777" w:rsidR="00626C4E" w:rsidRDefault="00626C4E" w:rsidP="009F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91A00" w14:textId="77777777" w:rsidR="00626C4E" w:rsidRDefault="00626C4E" w:rsidP="009F1250">
      <w:pPr>
        <w:spacing w:after="0" w:line="240" w:lineRule="auto"/>
      </w:pPr>
      <w:r>
        <w:separator/>
      </w:r>
    </w:p>
  </w:footnote>
  <w:footnote w:type="continuationSeparator" w:id="0">
    <w:p w14:paraId="7954BBD7" w14:textId="77777777" w:rsidR="00626C4E" w:rsidRDefault="00626C4E" w:rsidP="009F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D44ED" w14:textId="72A672E9" w:rsidR="005D3338" w:rsidRDefault="00E73418" w:rsidP="00E73418">
    <w:pPr>
      <w:pStyle w:val="a5"/>
      <w:tabs>
        <w:tab w:val="clear" w:pos="4513"/>
        <w:tab w:val="clear" w:pos="9026"/>
        <w:tab w:val="left" w:pos="129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1117F"/>
    <w:multiLevelType w:val="hybridMultilevel"/>
    <w:tmpl w:val="E31C56A8"/>
    <w:lvl w:ilvl="0" w:tplc="C1E8804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7204431F"/>
    <w:multiLevelType w:val="hybridMultilevel"/>
    <w:tmpl w:val="929E4478"/>
    <w:lvl w:ilvl="0" w:tplc="C1E8804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2NzcxNDO0NAYiYyUdpeDU4uLM/DyQAqNaADH96aksAAAA"/>
  </w:docVars>
  <w:rsids>
    <w:rsidRoot w:val="00094F92"/>
    <w:rsid w:val="00094F92"/>
    <w:rsid w:val="00155CEB"/>
    <w:rsid w:val="00183DAB"/>
    <w:rsid w:val="00190951"/>
    <w:rsid w:val="001D2926"/>
    <w:rsid w:val="002147A8"/>
    <w:rsid w:val="00224100"/>
    <w:rsid w:val="00272712"/>
    <w:rsid w:val="002915F6"/>
    <w:rsid w:val="002B7819"/>
    <w:rsid w:val="002D54BE"/>
    <w:rsid w:val="002F312A"/>
    <w:rsid w:val="003731F3"/>
    <w:rsid w:val="00377F20"/>
    <w:rsid w:val="003921CF"/>
    <w:rsid w:val="003C0253"/>
    <w:rsid w:val="003E7843"/>
    <w:rsid w:val="004149B3"/>
    <w:rsid w:val="00536679"/>
    <w:rsid w:val="00550B40"/>
    <w:rsid w:val="00587A32"/>
    <w:rsid w:val="005B3FFD"/>
    <w:rsid w:val="005D3338"/>
    <w:rsid w:val="00622FBC"/>
    <w:rsid w:val="00626C4E"/>
    <w:rsid w:val="00680F48"/>
    <w:rsid w:val="00763CAA"/>
    <w:rsid w:val="00791A2B"/>
    <w:rsid w:val="007A6040"/>
    <w:rsid w:val="008369FD"/>
    <w:rsid w:val="008405DE"/>
    <w:rsid w:val="008662A6"/>
    <w:rsid w:val="0087677E"/>
    <w:rsid w:val="008D0401"/>
    <w:rsid w:val="009425CB"/>
    <w:rsid w:val="009F1250"/>
    <w:rsid w:val="00A87C31"/>
    <w:rsid w:val="00AB4B68"/>
    <w:rsid w:val="00AD24EF"/>
    <w:rsid w:val="00C253D5"/>
    <w:rsid w:val="00CB6B54"/>
    <w:rsid w:val="00E1068F"/>
    <w:rsid w:val="00E13DB0"/>
    <w:rsid w:val="00E25AC5"/>
    <w:rsid w:val="00E73418"/>
    <w:rsid w:val="00E94C99"/>
    <w:rsid w:val="00E95ED4"/>
    <w:rsid w:val="00EC2D08"/>
    <w:rsid w:val="00ED0402"/>
    <w:rsid w:val="00F57A83"/>
    <w:rsid w:val="00FD2A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74F6"/>
  <w15:chartTrackingRefBased/>
  <w15:docId w15:val="{D5C0DDC6-FBE7-4B7A-BFB4-FB1CC401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F92"/>
    <w:pPr>
      <w:widowControl w:val="0"/>
      <w:wordWrap w:val="0"/>
      <w:autoSpaceDE w:val="0"/>
      <w:autoSpaceDN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F92"/>
    <w:pPr>
      <w:ind w:leftChars="400" w:left="800"/>
    </w:pPr>
  </w:style>
  <w:style w:type="table" w:styleId="1-1">
    <w:name w:val="List Table 1 Light Accent 1"/>
    <w:basedOn w:val="a1"/>
    <w:uiPriority w:val="46"/>
    <w:rsid w:val="00094F92"/>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4">
    <w:name w:val="caption"/>
    <w:basedOn w:val="a"/>
    <w:next w:val="a"/>
    <w:uiPriority w:val="35"/>
    <w:unhideWhenUsed/>
    <w:qFormat/>
    <w:rsid w:val="00094F92"/>
    <w:rPr>
      <w:b/>
      <w:bCs/>
      <w:szCs w:val="20"/>
    </w:rPr>
  </w:style>
  <w:style w:type="paragraph" w:styleId="a5">
    <w:name w:val="header"/>
    <w:basedOn w:val="a"/>
    <w:link w:val="Char"/>
    <w:uiPriority w:val="99"/>
    <w:unhideWhenUsed/>
    <w:rsid w:val="009F1250"/>
    <w:pPr>
      <w:tabs>
        <w:tab w:val="center" w:pos="4513"/>
        <w:tab w:val="right" w:pos="9026"/>
      </w:tabs>
      <w:snapToGrid w:val="0"/>
    </w:pPr>
  </w:style>
  <w:style w:type="character" w:customStyle="1" w:styleId="Char">
    <w:name w:val="머리글 Char"/>
    <w:basedOn w:val="a0"/>
    <w:link w:val="a5"/>
    <w:uiPriority w:val="99"/>
    <w:rsid w:val="009F1250"/>
  </w:style>
  <w:style w:type="paragraph" w:styleId="a6">
    <w:name w:val="footer"/>
    <w:basedOn w:val="a"/>
    <w:link w:val="Char0"/>
    <w:uiPriority w:val="99"/>
    <w:unhideWhenUsed/>
    <w:rsid w:val="009F1250"/>
    <w:pPr>
      <w:tabs>
        <w:tab w:val="center" w:pos="4513"/>
        <w:tab w:val="right" w:pos="9026"/>
      </w:tabs>
      <w:snapToGrid w:val="0"/>
    </w:pPr>
  </w:style>
  <w:style w:type="character" w:customStyle="1" w:styleId="Char0">
    <w:name w:val="바닥글 Char"/>
    <w:basedOn w:val="a0"/>
    <w:link w:val="a6"/>
    <w:uiPriority w:val="99"/>
    <w:rsid w:val="009F1250"/>
  </w:style>
  <w:style w:type="paragraph" w:styleId="a7">
    <w:name w:val="Balloon Text"/>
    <w:basedOn w:val="a"/>
    <w:link w:val="Char1"/>
    <w:uiPriority w:val="99"/>
    <w:semiHidden/>
    <w:unhideWhenUsed/>
    <w:rsid w:val="00E73418"/>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E73418"/>
    <w:rPr>
      <w:rFonts w:asciiTheme="majorHAnsi" w:eastAsiaTheme="majorEastAsia" w:hAnsiTheme="majorHAnsi" w:cstheme="majorBidi"/>
      <w:sz w:val="18"/>
      <w:szCs w:val="18"/>
    </w:rPr>
  </w:style>
  <w:style w:type="paragraph" w:styleId="a8">
    <w:name w:val="Revision"/>
    <w:hidden/>
    <w:uiPriority w:val="99"/>
    <w:semiHidden/>
    <w:rsid w:val="004149B3"/>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38398">
      <w:bodyDiv w:val="1"/>
      <w:marLeft w:val="0"/>
      <w:marRight w:val="0"/>
      <w:marTop w:val="0"/>
      <w:marBottom w:val="0"/>
      <w:divBdr>
        <w:top w:val="none" w:sz="0" w:space="0" w:color="auto"/>
        <w:left w:val="none" w:sz="0" w:space="0" w:color="auto"/>
        <w:bottom w:val="none" w:sz="0" w:space="0" w:color="auto"/>
        <w:right w:val="none" w:sz="0" w:space="0" w:color="auto"/>
      </w:divBdr>
    </w:div>
    <w:div w:id="18328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2026-01-06T05:33:00Z</dcterms:created>
  <dcterms:modified xsi:type="dcterms:W3CDTF">2026-01-06T05:38:00Z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2a2d2329-01e9-4e43-b1b4-fb3f2d0bb302</vt:lpwstr>
  </property>
</Properties>
</file>